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200" w:line="360" w:lineRule="auto"/>
        <w:jc w:val="both"/>
        <w:rPr>
          <w:rFonts w:ascii="Montserrat Medium" w:cs="Montserrat Medium" w:eastAsia="Montserrat Medium" w:hAnsi="Montserrat Medium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200" w:line="360" w:lineRule="auto"/>
        <w:jc w:val="center"/>
        <w:rPr>
          <w:rFonts w:ascii="Montserrat Medium" w:cs="Montserrat Medium" w:eastAsia="Montserrat Medium" w:hAnsi="Montserrat Medium"/>
          <w:sz w:val="24"/>
          <w:szCs w:val="24"/>
        </w:rPr>
      </w:pPr>
      <w:r w:rsidDel="00000000" w:rsidR="00000000" w:rsidRPr="00000000">
        <w:rPr>
          <w:rFonts w:ascii="Montserrat Medium" w:cs="Montserrat Medium" w:eastAsia="Montserrat Medium" w:hAnsi="Montserrat Medium"/>
          <w:sz w:val="20"/>
          <w:szCs w:val="20"/>
          <w:rtl w:val="0"/>
        </w:rPr>
        <w:t xml:space="preserve">NOTA DE PRENSA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line="360" w:lineRule="auto"/>
        <w:jc w:val="center"/>
        <w:rPr>
          <w:rFonts w:ascii="Montserrat" w:cs="Montserrat" w:eastAsia="Montserrat" w:hAnsi="Montserrat"/>
          <w:b w:val="1"/>
          <w:sz w:val="34"/>
          <w:szCs w:val="34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202124"/>
          <w:sz w:val="31"/>
          <w:szCs w:val="31"/>
          <w:rtl w:val="0"/>
        </w:rPr>
        <w:t xml:space="preserve">Pfs y Kíneox firman su integración para crear un líder tecnológico con vocación de crecimiento internacional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hd w:fill="ffffff" w:val="clear"/>
        <w:spacing w:after="280" w:before="280" w:line="360" w:lineRule="auto"/>
        <w:ind w:left="720" w:firstLine="0"/>
        <w:jc w:val="center"/>
        <w:rPr>
          <w:rFonts w:ascii="Montserrat SemiBold" w:cs="Montserrat SemiBold" w:eastAsia="Montserrat SemiBold" w:hAnsi="Montserrat SemiBold"/>
          <w:i w:val="1"/>
          <w:sz w:val="24"/>
          <w:szCs w:val="24"/>
        </w:rPr>
      </w:pPr>
      <w:r w:rsidDel="00000000" w:rsidR="00000000" w:rsidRPr="00000000">
        <w:rPr>
          <w:rFonts w:ascii="Montserrat SemiBold" w:cs="Montserrat SemiBold" w:eastAsia="Montserrat SemiBold" w:hAnsi="Montserrat SemiBold"/>
          <w:i w:val="1"/>
          <w:sz w:val="24"/>
          <w:szCs w:val="24"/>
          <w:rtl w:val="0"/>
        </w:rPr>
        <w:t xml:space="preserve">Tras este acuerdo ofrecen la única plataforma tecnológica propia que abarca el ciclo integral de riesgo de crédito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914400</wp:posOffset>
            </wp:positionV>
            <wp:extent cx="5731200" cy="2413000"/>
            <wp:effectExtent b="0" l="0" r="0" t="0"/>
            <wp:wrapTopAndBottom distB="114300" distT="114300"/>
            <wp:docPr id="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shd w:fill="ffffff" w:val="clear"/>
        <w:spacing w:after="280" w:before="280" w:line="360" w:lineRule="auto"/>
        <w:jc w:val="both"/>
        <w:rPr>
          <w:rFonts w:ascii="Montserrat" w:cs="Montserrat" w:eastAsia="Montserrat" w:hAnsi="Montserrat"/>
          <w:b w:val="1"/>
          <w:sz w:val="24"/>
          <w:szCs w:val="24"/>
        </w:rPr>
      </w:pPr>
      <w:r w:rsidDel="00000000" w:rsidR="00000000" w:rsidRPr="00000000">
        <w:rPr>
          <w:rFonts w:ascii="Montserrat Medium" w:cs="Montserrat Medium" w:eastAsia="Montserrat Medium" w:hAnsi="Montserrat Medium"/>
          <w:i w:val="1"/>
          <w:color w:val="20262f"/>
          <w:sz w:val="24"/>
          <w:szCs w:val="24"/>
          <w:rtl w:val="0"/>
        </w:rPr>
        <w:t xml:space="preserve">17 de junio de 2022</w:t>
      </w:r>
      <w:r w:rsidDel="00000000" w:rsidR="00000000" w:rsidRPr="00000000">
        <w:rPr>
          <w:rFonts w:ascii="Montserrat Medium" w:cs="Montserrat Medium" w:eastAsia="Montserrat Medium" w:hAnsi="Montserrat Medium"/>
          <w:color w:val="20262f"/>
          <w:sz w:val="24"/>
          <w:szCs w:val="24"/>
          <w:rtl w:val="0"/>
        </w:rPr>
        <w:t xml:space="preserve"> - La empresa de transformación eficiente </w:t>
      </w:r>
      <w:hyperlink r:id="rId7">
        <w:r w:rsidDel="00000000" w:rsidR="00000000" w:rsidRPr="00000000">
          <w:rPr>
            <w:rFonts w:ascii="Montserrat Medium" w:cs="Montserrat Medium" w:eastAsia="Montserrat Medium" w:hAnsi="Montserrat Medium"/>
            <w:color w:val="1155cc"/>
            <w:sz w:val="24"/>
            <w:szCs w:val="24"/>
            <w:u w:val="single"/>
            <w:rtl w:val="0"/>
          </w:rPr>
          <w:t xml:space="preserve">pfs</w:t>
        </w:r>
      </w:hyperlink>
      <w:r w:rsidDel="00000000" w:rsidR="00000000" w:rsidRPr="00000000">
        <w:rPr>
          <w:rFonts w:ascii="Montserrat Medium" w:cs="Montserrat Medium" w:eastAsia="Montserrat Medium" w:hAnsi="Montserrat Medium"/>
          <w:color w:val="20262f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Montserrat Medium" w:cs="Montserrat Medium" w:eastAsia="Montserrat Medium" w:hAnsi="Montserrat Medium"/>
          <w:color w:val="20262f"/>
          <w:sz w:val="24"/>
          <w:szCs w:val="24"/>
          <w:rtl w:val="0"/>
        </w:rPr>
        <w:t xml:space="preserve">y la tecnológica </w:t>
      </w:r>
      <w:hyperlink r:id="rId8">
        <w:r w:rsidDel="00000000" w:rsidR="00000000" w:rsidRPr="00000000">
          <w:rPr>
            <w:rFonts w:ascii="Montserrat Medium" w:cs="Montserrat Medium" w:eastAsia="Montserrat Medium" w:hAnsi="Montserrat Medium"/>
            <w:color w:val="1155cc"/>
            <w:sz w:val="24"/>
            <w:szCs w:val="24"/>
            <w:u w:val="single"/>
            <w:rtl w:val="0"/>
          </w:rPr>
          <w:t xml:space="preserve">Kíneox</w:t>
        </w:r>
      </w:hyperlink>
      <w:r w:rsidDel="00000000" w:rsidR="00000000" w:rsidRPr="00000000">
        <w:rPr>
          <w:rFonts w:ascii="Montserrat Medium" w:cs="Montserrat Medium" w:eastAsia="Montserrat Medium" w:hAnsi="Montserrat Medium"/>
          <w:color w:val="20262f"/>
          <w:sz w:val="24"/>
          <w:szCs w:val="24"/>
          <w:rtl w:val="0"/>
        </w:rPr>
        <w:t xml:space="preserve"> han dado un nuevo paso en su plan de expansión y consolidación, uniendo fuerzas </w:t>
      </w:r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para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liderar el mercado de cobros y recuperaciones digitales</w:t>
      </w:r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. Conjuntamente, ofrecen la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única plataforma tecnológica propia que abarca el ciclo integral de gestión de riesgo de crédito.</w:t>
      </w:r>
    </w:p>
    <w:p w:rsidR="00000000" w:rsidDel="00000000" w:rsidP="00000000" w:rsidRDefault="00000000" w:rsidRPr="00000000" w14:paraId="00000006">
      <w:pPr>
        <w:spacing w:after="200" w:line="360" w:lineRule="auto"/>
        <w:jc w:val="both"/>
        <w:rPr>
          <w:rFonts w:ascii="Montserrat Medium" w:cs="Montserrat Medium" w:eastAsia="Montserrat Medium" w:hAnsi="Montserrat Medium"/>
          <w:sz w:val="24"/>
          <w:szCs w:val="24"/>
        </w:rPr>
      </w:pPr>
      <w:bookmarkStart w:colFirst="0" w:colLast="0" w:name="_edhjy86fshjy" w:id="0"/>
      <w:bookmarkEnd w:id="0"/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La combinación de capacidades de ambas compañías permite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ampliar y mejorar su portfolio actual de productos y la oferta a los clientes</w:t>
      </w:r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, centrando la estrategia en cubrir los procesos centrales de negocio a través de plataformas digitales propias en modalidad </w:t>
      </w:r>
      <w:r w:rsidDel="00000000" w:rsidR="00000000" w:rsidRPr="00000000">
        <w:rPr>
          <w:rFonts w:ascii="Montserrat Medium" w:cs="Montserrat Medium" w:eastAsia="Montserrat Medium" w:hAnsi="Montserrat Medium"/>
          <w:i w:val="1"/>
          <w:sz w:val="24"/>
          <w:szCs w:val="24"/>
          <w:rtl w:val="0"/>
        </w:rPr>
        <w:t xml:space="preserve">Software as a Service</w:t>
      </w:r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 (SaaS), analítica y modelos de datos.</w:t>
      </w:r>
    </w:p>
    <w:p w:rsidR="00000000" w:rsidDel="00000000" w:rsidP="00000000" w:rsidRDefault="00000000" w:rsidRPr="00000000" w14:paraId="00000007">
      <w:pPr>
        <w:spacing w:after="200" w:line="360" w:lineRule="auto"/>
        <w:jc w:val="both"/>
        <w:rPr>
          <w:rFonts w:ascii="Montserrat Medium" w:cs="Montserrat Medium" w:eastAsia="Montserrat Medium" w:hAnsi="Montserrat Medium"/>
          <w:sz w:val="24"/>
          <w:szCs w:val="24"/>
        </w:rPr>
      </w:pPr>
      <w:bookmarkStart w:colFirst="0" w:colLast="0" w:name="_anuwubbqvz2n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line="360" w:lineRule="auto"/>
        <w:jc w:val="both"/>
        <w:rPr>
          <w:rFonts w:ascii="Montserrat Medium" w:cs="Montserrat Medium" w:eastAsia="Montserrat Medium" w:hAnsi="Montserrat Medium"/>
          <w:sz w:val="24"/>
          <w:szCs w:val="24"/>
        </w:rPr>
      </w:pPr>
      <w:bookmarkStart w:colFirst="0" w:colLast="0" w:name="_ihy0xghdihey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200" w:line="360" w:lineRule="auto"/>
        <w:jc w:val="both"/>
        <w:rPr>
          <w:rFonts w:ascii="Montserrat Medium" w:cs="Montserrat Medium" w:eastAsia="Montserrat Medium" w:hAnsi="Montserrat Medium"/>
          <w:sz w:val="24"/>
          <w:szCs w:val="24"/>
        </w:rPr>
      </w:pPr>
      <w:bookmarkStart w:colFirst="0" w:colLast="0" w:name="_k3xjy83mq947" w:id="3"/>
      <w:bookmarkEnd w:id="3"/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Esta integración supone un paso hacia adelante en la estrategia de consolidación de pfs y Kíneox, con el objetivo de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mantener el crecimiento de su cifra de negocio y multiplicarla por dos en 2024</w:t>
      </w:r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. Este año 2022, alcanzarán una cifra de negocio superior a 45 millones de euros y un ebitda consolidado de más de 10 millones de euros.</w:t>
      </w:r>
    </w:p>
    <w:p w:rsidR="00000000" w:rsidDel="00000000" w:rsidP="00000000" w:rsidRDefault="00000000" w:rsidRPr="00000000" w14:paraId="0000000A">
      <w:pPr>
        <w:spacing w:after="200" w:line="360" w:lineRule="auto"/>
        <w:jc w:val="both"/>
        <w:rPr>
          <w:rFonts w:ascii="Montserrat Medium" w:cs="Montserrat Medium" w:eastAsia="Montserrat Medium" w:hAnsi="Montserrat Medium"/>
          <w:sz w:val="24"/>
          <w:szCs w:val="24"/>
        </w:rPr>
      </w:pPr>
      <w:bookmarkStart w:colFirst="0" w:colLast="0" w:name="_kgjmmdbv0ntk" w:id="4"/>
      <w:bookmarkEnd w:id="4"/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Además, las dos empresas refuerzan su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plan de expansión internacional </w:t>
      </w:r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en Europa y Latinoamérica, y particularmente en México, donde ambas presentan una sólida base de clientes. </w:t>
      </w:r>
    </w:p>
    <w:p w:rsidR="00000000" w:rsidDel="00000000" w:rsidP="00000000" w:rsidRDefault="00000000" w:rsidRPr="00000000" w14:paraId="0000000B">
      <w:pPr>
        <w:spacing w:after="200" w:line="360" w:lineRule="auto"/>
        <w:jc w:val="both"/>
        <w:rPr>
          <w:rFonts w:ascii="Montserrat Medium" w:cs="Montserrat Medium" w:eastAsia="Montserrat Medium" w:hAnsi="Montserrat Medium"/>
          <w:sz w:val="24"/>
          <w:szCs w:val="24"/>
        </w:rPr>
      </w:pPr>
      <w:bookmarkStart w:colFirst="0" w:colLast="0" w:name="_oflz1n6xkujv" w:id="5"/>
      <w:bookmarkEnd w:id="5"/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La operación ha sido asesorada por Socios Corporate Finance y Bestax y Chequers como abogados de ambas partes.</w:t>
      </w:r>
    </w:p>
    <w:p w:rsidR="00000000" w:rsidDel="00000000" w:rsidP="00000000" w:rsidRDefault="00000000" w:rsidRPr="00000000" w14:paraId="0000000C">
      <w:pPr>
        <w:spacing w:after="200" w:line="360" w:lineRule="auto"/>
        <w:jc w:val="both"/>
        <w:rPr>
          <w:rFonts w:ascii="Montserrat Medium" w:cs="Montserrat Medium" w:eastAsia="Montserrat Medium" w:hAnsi="Montserrat Medium"/>
          <w:sz w:val="24"/>
          <w:szCs w:val="24"/>
        </w:rPr>
      </w:pPr>
      <w:bookmarkStart w:colFirst="0" w:colLast="0" w:name="_1t3h5sf" w:id="6"/>
      <w:bookmarkEnd w:id="6"/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u w:val="single"/>
          <w:rtl w:val="0"/>
        </w:rPr>
        <w:t xml:space="preserve">Sobre pfs:</w:t>
      </w:r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 es una compañía de capital español y ámbito multinacional que se dedica a la creación de plataformas digitales para la transformación eficiente. Son fabricantes de soluciones de software propias y las aplican en procesos clave de los negocios, digitalizándolos, integrándolos completamente y garantizando la obtención de resultados tangibles. Cuenta con más de 700 empleados, y un crecimiento medio en los últimos cuatro años del 50% anual. Tiene sedes en España, Portugal y México, y presencia en clientes en 26 países.</w:t>
      </w:r>
    </w:p>
    <w:p w:rsidR="00000000" w:rsidDel="00000000" w:rsidP="00000000" w:rsidRDefault="00000000" w:rsidRPr="00000000" w14:paraId="0000000D">
      <w:pPr>
        <w:spacing w:line="360" w:lineRule="auto"/>
        <w:jc w:val="both"/>
        <w:rPr>
          <w:rFonts w:ascii="Montserrat" w:cs="Montserrat" w:eastAsia="Montserrat" w:hAnsi="Montserrat"/>
          <w:sz w:val="24"/>
          <w:szCs w:val="24"/>
        </w:rPr>
      </w:pPr>
      <w:bookmarkStart w:colFirst="0" w:colLast="0" w:name="_pa5l3xee79wp" w:id="7"/>
      <w:bookmarkEnd w:id="7"/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u w:val="single"/>
          <w:rtl w:val="0"/>
        </w:rPr>
        <w:t xml:space="preserve">Sobre Kíneox:</w:t>
      </w:r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 es el líder en la transformación digital de procesos de cobro combinando Inteligencia Artificial y soluciones SaaS sobre unos principios básicos: cobrar antes, a menor coste y con la mejor experiencia de usuario. Cuenta con más de 50 profesionales con gran experiencia y talento, y ofrece soluciones tecnológicas a las principales entidades financieras, telcos, </w:t>
      </w:r>
      <w:r w:rsidDel="00000000" w:rsidR="00000000" w:rsidRPr="00000000">
        <w:rPr>
          <w:rFonts w:ascii="Montserrat Medium" w:cs="Montserrat Medium" w:eastAsia="Montserrat Medium" w:hAnsi="Montserrat Medium"/>
          <w:i w:val="1"/>
          <w:sz w:val="24"/>
          <w:szCs w:val="24"/>
          <w:rtl w:val="0"/>
        </w:rPr>
        <w:t xml:space="preserve">utilities</w:t>
      </w:r>
      <w:r w:rsidDel="00000000" w:rsidR="00000000" w:rsidRPr="00000000">
        <w:rPr>
          <w:rFonts w:ascii="Montserrat Medium" w:cs="Montserrat Medium" w:eastAsia="Montserrat Medium" w:hAnsi="Montserrat Medium"/>
          <w:sz w:val="24"/>
          <w:szCs w:val="24"/>
          <w:rtl w:val="0"/>
        </w:rPr>
        <w:t xml:space="preserve"> y aseguradoras en 14 mercados europeos y latinoamericanos.</w:t>
      </w:r>
      <w:r w:rsidDel="00000000" w:rsidR="00000000" w:rsidRPr="00000000">
        <w:rPr>
          <w:rtl w:val="0"/>
        </w:rPr>
      </w:r>
    </w:p>
    <w:sectPr>
      <w:headerReference r:id="rId9" w:type="default"/>
      <w:pgSz w:h="16834" w:w="11909" w:orient="portrait"/>
      <w:pgMar w:bottom="1440" w:top="1440" w:left="1440" w:right="1440" w:header="720.0000000000001" w:footer="720.000000000000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ontserrat SemiBol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Montserra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Montserrat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0E">
    <w:pPr>
      <w:jc w:val="center"/>
      <w:rPr/>
    </w:pPr>
    <w:r w:rsidDel="00000000" w:rsidR="00000000" w:rsidRPr="00000000">
      <w:rPr/>
      <w:drawing>
        <wp:inline distB="114300" distT="114300" distL="114300" distR="114300">
          <wp:extent cx="2932799" cy="738188"/>
          <wp:effectExtent b="0" l="0" r="0" t="0"/>
          <wp:docPr id="2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932799" cy="73818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image" Target="media/image1.jpg"/><Relationship Id="rId7" Type="http://schemas.openxmlformats.org/officeDocument/2006/relationships/hyperlink" Target="https://www.pfsgroup.es/" TargetMode="External"/><Relationship Id="rId8" Type="http://schemas.openxmlformats.org/officeDocument/2006/relationships/hyperlink" Target="https://kineox.com/es/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SemiBold-regular.ttf"/><Relationship Id="rId2" Type="http://schemas.openxmlformats.org/officeDocument/2006/relationships/font" Target="fonts/MontserratSemiBold-bold.ttf"/><Relationship Id="rId3" Type="http://schemas.openxmlformats.org/officeDocument/2006/relationships/font" Target="fonts/MontserratSemiBold-italic.ttf"/><Relationship Id="rId4" Type="http://schemas.openxmlformats.org/officeDocument/2006/relationships/font" Target="fonts/MontserratSemiBold-boldItalic.ttf"/><Relationship Id="rId11" Type="http://schemas.openxmlformats.org/officeDocument/2006/relationships/font" Target="fonts/MontserratMedium-italic.ttf"/><Relationship Id="rId10" Type="http://schemas.openxmlformats.org/officeDocument/2006/relationships/font" Target="fonts/MontserratMedium-bold.ttf"/><Relationship Id="rId12" Type="http://schemas.openxmlformats.org/officeDocument/2006/relationships/font" Target="fonts/MontserratMedium-boldItalic.ttf"/><Relationship Id="rId9" Type="http://schemas.openxmlformats.org/officeDocument/2006/relationships/font" Target="fonts/MontserratMedium-regular.ttf"/><Relationship Id="rId5" Type="http://schemas.openxmlformats.org/officeDocument/2006/relationships/font" Target="fonts/Montserrat-regular.ttf"/><Relationship Id="rId6" Type="http://schemas.openxmlformats.org/officeDocument/2006/relationships/font" Target="fonts/Montserrat-bold.ttf"/><Relationship Id="rId7" Type="http://schemas.openxmlformats.org/officeDocument/2006/relationships/font" Target="fonts/Montserrat-italic.ttf"/><Relationship Id="rId8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